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16838-П/2007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Берендеева Геннадия Николаевича на нарушение его конституционных прав Федеральным законом «О государственных долговых товарных обязательствах», Федеральным законом «О внесении изменений и дополнений в статью 3 Федерального закона «О государственных долговых товарных обязательствах» и Государственной программой погашения в 2001–2004 годах государственного внутреннего долга Российской Федерации по государственным долговым товарным обязательствам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Г.Н.Берендеева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Г.Н.Берендеевым материалы, не находит оснований для принятия его жалобы к рассмотрению. Неоднократно отмечая в своих решениях недопустимость одностороннего изменения государством условий исполнения договорных обязательств перед гражданами, в том числе по погашению долговых товарных обязательств,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Берендеева Геннадия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