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181842-П/2014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Подъячевой Елены Михайловны на нарушение ее конституционных прав пунктом 2 части пятой статьи 125 и пунктом 1 части первой статьи 38920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Е.М.Подъячевой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пятой статьи 125 УПК Российской Федерации закрепляет право суда оставить без удовлетворения жалобу участника уголовного судопроизводства на постановление дознавателя, следователя, руководителя следственного органа об отказе в возбуждении уголовного дела, о прекращении уголовного дела, а равно на иные решения и действия (бездействие)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а пункт 1 части первой статьи 38920 того же Кодекса – полномочие суда апелляционной инстанции оставить приговор, определение, постановление без изменения, а апелляционные жалобы или представления без удовлетворения. Данные положения уголовно-процессуального закона не регламентируют пересмотр приговора ввиду новых обстоятельств, а потому не могут рассматриваться как нарушающие права Е.М.Подъячевой в обозначенном ею аспекте. Кроме того, в нарушение части второй статьи 96 Федерального конституционного закона «О Конституционном Суде Российской Федерации» заявительницей не представлены документы, подтверждающие применение судом оспоренных ею законоположений в указанном в ее жалобе смысле. Таким образом, жалоба Е.М.Подъячевой,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Подъячевой Елены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