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175400-П/2014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Блиновой Елены Владимировны на нарушение ее конституционных прав пунктом 1 статьи 394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Е.В.Блиновой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апелляционной инстанции решение суда общей юрисдикции было отменено в части и в пользу гражданки Е.В.Блиновой с застройщика взысканы неустойка за нарушение срока возврата денежных средств, убытки и штраф. При этом суд исходил из того, что убытки возмещаются в части, не покрытой неустойкой. В передаче кассационных жалоб на данное судебное постановление для рассмотрения в судебном заседании судов кассационной инстанции, включая Верховный Суд Российской Федерации, было отказано.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норма направлена на обеспечение баланса интересов участников обязательственных правоотношений и, не препятствуя взысканию убытков в полной сумме сверх неустойки, если это предусмотрено законом или договором, сама по себе не может рассматриваться как нарушающая в указанном в жалобе аспекте конституционные права заявительницы. Проверка же законности и обоснованности принятых по конкретному делу судебных постановлений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Блиновой Елены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