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117198-П/2012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Суркова Алексея Вячеславовича на нарушение его конституционных прав пунктом 54 статьи 5, пунктом 1 части первой статьи 29, частью второй статьи 31 и статьей 296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А.В.Суркова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47 (часть 1) и 118 Конституции Российской Федерации и конкретизирующим их положениям Федерального конституционного закона от 31 декабря 1996 года № 1-ФКЗ «О судебной системе Российской Федерации» (статьи 1, 5 и 11)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присяжных, народных и арбитражных заседателей; никакие другие органы и лица не вправе принимать на себя осуществление правосудия; никто не может быть лишен права на рассмотрение его дела в том суде и тем судьей, к подсудности которых оно отнесено законом. Оспариваемые положения Уголовно-процессуального кодекса Российской Федерации, определяющие, что судья – это должностное лицо, уполномоченное осуществлять правосудие (пункт 54 статьи 5), закрепляющие полномочия суда и подсудность уголовных дел (пункт 1 части первой статьи 29 и часть вторая статьи 31) и устанавливающие, что суд постановляет приговор именем Российской Федерации (статья 296), направлены на реализацию названных конституционных предписаний в уголовном судопроизводстве, какой-либо неопределенности не содержат и не могут расцениваться как нарушающие конституционные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Суркова Алексея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