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131106-П/2013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Бородина Евгения Юрьевича на нарушение его конституционных прав пунктом 1 статьи 29.1 и частью 1 статьи 29.5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к рассмотрению жалобы гражданина Е.Ю.Бородина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Е.Ю.Бородиным материалы, не находит оснований для принятия его жалобы к рассмотрению. В силу статьи 47 (часть 1)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законом. Статья 29.5 КоАП Российской Федерации определяет место рассмотрения дела об административном правонарушении. По общему правилу, закрепленному в части 1 указанной статьи, дело об административном правонарушении рассматривается по месту его совершения. Иные положения данной статьи предусматривают специальные правила определения места рассмотрения отдельных категорий дел об административных правонарушениях. При этом пункт 1 статьи 29.1 КоАП Российской Федерации обязывает судью, орган, должностное лицо при подготовке к рассмотрению 3 дела об административном правонарушении выяснить, относится ли к их компетенции рассмотрение соответствующего дела. Таким образом, оспариваемые нормы, вопреки утверждениям заявителя, не содержат какой-либо неопределенности и не предполагают возможность произвольного определения места рассмотрения дела об административном правонарушении, а потому не могут рассматриваться как нарушающие его конституционные права в указанном им аспекте. Проверка же законности и обоснованности судебных решений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Бородина Евгения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