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90627-П/2012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Елькина Игоря Михайловича на нарушение его конституционных прав пунктом 2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И.М.Елькина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Пункт 2 части первой статьи 134 ГПК Российской Федерации предусматривает отказ в принятии искового заявления в случае, когда право на судебную защиту было реализовано в состоявшемся ранее судебном процессе. Это положение направлено на пресечение рассмотрения судами тождественных исков (по спорам между теми же сторонами, о том же предмете и по тем же основаниям) и не может рассматриваться как нарушающее права и свободы заявителя, перечисленные в жалобе. Как следует из жалобы, И.М.Елькин, оспаривая конституционность пункта 2 части первой статьи 134 ГПК Российской Федерации, фактически выражает несогласие с судебными постановлениями, вынесенными по результатам рассмотрения его конкретного дела, указывая, в частности, на неприменение данной нормы судом, подлежащей, по его мнению, применению. Между тем проверка законности и обоснованности судебных постановлений, в том числе правильности выбора подлежащих применению норм процессуального права, Конституционному Суду Российской Федерации неподведомственна в силу статьи 125 Конституции Российской Федерации и статьи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Елькина Игоря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