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17412-П/2008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Анисимовой Марины Станиславовны на нарушение ее конституционных прав частью третьей статьи 29 и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гражданки М.С.Анисимовой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М.С.Анисимовой материалы, не находит оснований для принятия ее жалобы к рассмотрению. Взаимосвязанные положения части третьей статьи 29 и статьи 125 УПК Российской Федерации не предоставляют судам права на стадии ознакомления с содержанием жалобы оставлять ее без рассмотрения и возвращать заявителю без вынесения соответствующего судебного постановления. Нормы, закрепленные в частях третьей и пятой статьи 125 данного Кодекса, вполне однозначно обязывают судью проверять законность и обоснованность обжалуемых действий (бездействия) или решений органа дознания, дознавателя, следователя, руководителя следственного органа и прокурора в открытом судебном заседании и по результатам рассмотрения жалобы выносить обоснованное постановление. Какой-либо неопределенности в этом вопросе, позволяющей судам оставлять жалобы без рассмотрения и возвращать их заявителю без вынесения соответствующего судебного постановления,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Анисимовой Марины Станиславовны,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