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16959-П/2007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Жуковского фонда обучения детей дошкольного, младшего и среднего школьного возраста «Радуга» на нарушение конституционных прав и свобод пунктом 2 статьи 199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Жуковского фонда обучения детей дошкольного, младшего и среднего школьного возраста «Радуга»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Московской области от 18 октября 2006 года удовлетворены исковые требования ФГУП «Рублево-Успенский лечебно-оздоровительный комплекс» к некоммерческой организации – Жуковскому фонду обучения детей дошкольного, младшего и среднего школьного возраста «Радуга» о признании недействительным дополнительного соглашения к договору аренды нежилого помещения, 2 заключенного между истцом и ответчиком. В заседании арбитражного апелляционного суда ответчик заявил ходатайство о применении срока исковой давности, в удовлетворении которого было отказано со ссылкой на пункт 2 статьи 199 ГК Российской Федерации, поскольку до вынесения решения судом первой инстанции ответчик о применении исковой давности не заявил.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Жуковского фонда обучения детей дошкольного, младшего и среднего школьного возраста «Радуга»,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