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118033-П/2012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Андрея Валентиновича на нарушение его конституционных прав подпунктом «г» пункта 15 Правил обязательного страхования гражданской ответственности владельцев транспортных средств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А.В.Семеновым материалы, не находит оснований для принятия его жалобы к рассмотрению. Подпункт «г» пункта 15 Правил обязательного страхования гражданской ответственности владельцев транспортных средств, включающий в перечень документов, необходимых для заключения договора обязательного страхования гражданской ответственности владельцев транспортных средств, документ о регистрации транспортного средства, выданный органом, осуществляющим регистрацию транспортного средства, какой-либо неопределенности не содержит и не может рассматриваться как нарушающий конституционные права заявителя,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