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134116-П/2013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Сосны Петра Павловича на нарушение его конституционных прав подпунктом 2 пункта 1 статьи 2011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П.П.Сосны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в силе постановлением суда кассационной инстанции, было отказано в удовлетворении заявления гражданина П.П.Сосны о включении в реестр требований о передаче жилого помещения его требования о передаче квартиры.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П.П.Сосной материалы, не находит оснований для принятия ее жалобы к рассмотрению. Как следует из представленных материалов, суды, рассматривавшие дело с участием П.П.Сосны, пришли к выводу, что он как участник строительства не лишен возможности предъявить к должнику денежное требование в виде реального ущерба, причиненного нарушением обязательства застройщика передать жилое помещение по договору. Таким образом, оспариваемое заявителем положение не может рассматриваться как нарушающее его конституционные права и свободы в указанном в жалобе аспекте. Внесение же изменений и дополнений в закон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Сосны Петра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