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161456-П/2014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«Лидер» на нарушение конституционных прав и свобод статьей 310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«Лидер»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Пятнадцатого арбитражного апелляционного суда, оставленным без изменения постановлением Федерального арбитражного суда Северо-Кавказского округа, было отменено решение арбитражного суда первой инстанции и отказано в удовлетворении требований ООО «Лидер» об обязании ответчика восстановить положение, существовавшее до нарушения права, и не чинить препятствий в получении услуг. При этом суды указали, что ответчик воспользовался предусмотренным соглашением сторон правом на расторжение договора в одностороннем порядке путем уведомления 2 другой стороны. В передаче дела в Президиум Высшего Арбитражного Суда Российской Федерации для пересмотра в порядке надзора постановлений судов апелляционной и кассационной инстанций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310 ГК Российской Федерации, устанавливающая, в частности, возможность предусмотреть в договоре случаи, в которых допускается односторонний отказ от исполнения обязательства, связанного с осуществлением его сторонами предпринимательской деятельности, что согласуется с основанным на положениях Конституции Российской Федерации принципом свободы договора, направлена на защиту прав и законных интересов сторон обязательства и не может расцениваться как нарушающая перечисленные в жалобе конституционные права заявителя.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«Лидер»,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