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15484-П/2006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ноября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Антонова Василия Васильевича на нарушение его конституционных прав частью второй статьи 15 Правил возмещения работодателями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В.В.Антонова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гражданином В.В.Антоновым материалы, не находит оснований для принятия его жалобы к рассмотрению. По смыслу статей 43 и 97 Федерального конституционного закона «О Конституционном Суде Российской Федерации», жалоба гражданина на нарушение его прав и свобод может быть принята к рассмотрению Конституционным Судом Российской Федерации, если оспариваемый заявителем нормативный акт затрагивает его конституционные права и свободы и на момент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Антонова Василия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