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151650-П/2014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Чернова Андрея Николаевича на нарушение его конституционных прав статьями 20.1, 29.9 и 29.10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А.Н.Чернова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А.Н.Черновым материалы, не находит оснований для принятия его жалобы к рассмотрению. Оспариваемые законоположения предусматривают административную ответственность за мелкое хулиганство (статья 20.1 КоАП Российской Федерации), а также устанавливают виды решений, выносимых по результатам рассмотрения дела об административном правонарушении, и содержание постановления по делу об административном правонарушении (статьи 29.9 и 29.10 КоАП Российской Федерации). Указанные нормы не регулируют порядок проведения следственных действий по уголовному делу, а потому не могут рассматриваться как нарушающие конституционные права заявителя в указанном им аспекте. Проверка же законности и обоснованности таких действий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