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176282-П/2014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«ЖКХ Витим» на нарушение конституционных прав и свобод пунктом 1 статьи 544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«ЖКХ Витим»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арбитражного суда кассационной инстанции, были частично удовлетворены исковые требования ООО «ЖКХ Витим» к общеобразовательному учреждению о взыскании задолженности по договору на поставку тепловой энергии и процентов.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544 ГК Российской Федерации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Данное положение, направленное в том числе на обеспечение баланса интересов сторон договора энергоснабжения и с учетом разъяснений, содержащихся в пункте 3 постановления Пленума Высшего Арбитражного Суда Российской Федерации от 14 марта 2014 года №16 «О свободе договора и ее пределах», о пределах, в рамках которых стороны договора свободны установить условие, отличное от содержащегося в норме правила, не может рассматриваться как нарушающее конституционные права и свободы заявителя, перечисленные в жалобе. Проверка же законности и обоснованности вынесенных по конкретному делу судебных решений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3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«ЖКХ Витим»,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