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165855-П/2014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Курдюкова Петра Геннадиевича на нарушение его конституционных прав положениями статей 29, 125 и 392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П.Г.Курдюкова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18 декабря 2013 года прекращено производство по поданной П.Г.Курдюковым в порядке статьи 125 УПК Российской Федерации жалобе.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мнению заявителя, статья 125 УПК Российской Федерации не только не препятствует, а, напротив, гарантирует участникам уголовного судопроизводства право судебного обжалования решений и действий (бездействия) дознавателя, следователя, руководителя следственного органа и прокурора, которые способны причинить ущерб их конституционным правам и свободам либо затруднить им доступ к правосудию, а потому не может рассматриваться как нарушающая конституционные права заявителя. Не могут расцениваться в качестве нарушающих его права и положения статьи 29 УПК Российской Федерации, регламентирующие полномочия суда по вынесению частных определений или постановлений, и статьи 392 того же Кодекса, устанавливающие общеобязательность вступивших в законную силу судебных решений на всей территории Российской Федерации, которые также направлены на обеспечение конституционных прав участников уголовного судопроизводства. Таким образом, жалоба П.Г.Курдюкова,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Курдюкова Петра Геннадиевича,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