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133193-П/2013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Зайцевой Людмилы Михайловны на нарушение ее конституционных прав пунктом 1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Л.М.Зайцевой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гражданке Л.М.Зайцевой было отказано в удовлетворении иска о взыскании убытков, составляющих стоимость утраченных акций открытого акционерного общества, в связи с истечением срока исковой давности.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Л.М.Зайцевой материалы, не находит оснований для принятия ее жалобы к рассмотрению. Положение пункта 1 статьи 200 ГК Российской Федерации, согласно которому течение срока исковой давности начинается со дня, когда лицо узнало или должно было узнать о нарушении своего права, сформулировано таким образом, что наделяет суд необходимыми дискреционными полномочиями по определению момента начала течения этого срока исходя из фактических обстоятельств дела, и не может рассматриваться как нарушающее конституционные права заявительницы, указанные в жалобе. Заинтересованные лица вправе ходатайствовать о восстановлении пропущенного срока, и такого рода ходатайства подлежат удовлетворению, если суд признает, что пропуск срока обусловлен уважительными причинами. Проверка же правильности применения пункта 1 статьи 200 ГК Российской Федерации в конкретном деле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Зайцевой Людмилы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