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103505-П/2012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Р.Х.Саитовой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общей юрисдикции в марте 2011 года оставил без удовлетворения жалобу гражданки Р.Х.Саитовой, поданную в порядке статьи 125 УПК Российской Федерации на постановление об отказе в возбуждении уголовного дела, вынесенное в июле 2003 года. В своем решении наряду с прочим суд указал и на то обстоятельство, что проверочные материалы по ее заявлению в связи с истечением сроков хранения были уничтожены, а 2 потому исключена возможность их исследования в рамках рассмотрения жалобы.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заявительницей часть пятая статьи 125 УПК Российской Федерации лишь называет виды решений, принимаемых судом по результатам рассмотрения жалоб: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нарушение; об оставлении жалобы без удовлетворения. Эта норма действует во взаимосвязи с другими положениями данного Кодекса, подлежит применению с учетом разумных сроков обращения с жалобой в суд и не может расцениваться как нарушающая права заявительницы в ее конкретном деле.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