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85663-П/2011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Рахимзянова Альберта Кашшафовича на нарушение его конституционных прав частью второй статьи 255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В.Г.Ярославцева, рассмотрев по требованию гражданина А.К.Рахимзянова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16 августа 2010 года в Калининский районный суд города Челябинска поступило уголовное дело в отношении гражданина А.К.Рахимзянова. Постановлением суда от 9 сентября 2010 года дело было возвращено прокурору для устранения препятствий его рассмотрения судом, а избранная обвиняемому мера пресечения в виде заключения под стражу оставлена без изменения. 28 сентября 2010 года уголовное дело поступило в прокуратуру Калининского района города Челябинска. Постановлением того же суда от 1 декабря 2010 года, вынесенным в ходе судебного 2 разбирательства, срок содержания под стражей А.К.Рахимзянова продлен на шесть месяцев с момента поступления уголовного дела в суд, т.е. до 17 мая 2011 года. Кассационным определением Челябинского областного суда от 29 декабря 2010 года постановление от 1 декабря 2010 года изменено путем зачета в срок содержания под стражей времени с момента первоначального поступления уголовного дела в суд до момента поступления уголовного дела в прокуратуру после возвращения его судом; срок содержания под стражей А.К.Рахимзянова определен до 5 апреля 2011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255 УПК Российской Федерации регламентируют срок содержания подсудимого под стражей на судебной стадии уголовного судопроизводства, который, согласно части второй этой статьи, не может превышать шести месяцев со дня поступления уголовного дела в суд и до вынесения приговора, и не регулируют сроки содержания под стражей на стадии предварительного расследования, которые установлены статьей 109 УПК Российской Федерации. При этом часть третья статьи 237 УПК Российской Федерации прямо предусматривает, что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установленных статьей 109 этого Кодекса, а не его статьей 255. 3 Таким образом, часть вторая статьи 255 УПК Российской Федерации не может рассматриваться как нарушающая конституционные права заявителя в указанном им аспекте. К тому же, как следует из приложенных к жалобе материалов, срок содержания заявителя под стражей с момента первоначального поступления уголовного дела в суд и до поступления его прокурору был зачтен решением суда кассационной инстанции в срок содержания под стражей, регулируемый статьей 255 УПК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Рахимзянова Альберта Кашшафовича,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