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Андрея Максимовича на нарушение его конституционных прав положениями статей 413, 414 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гражданина А.М.Скворцова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А.М.Скворцов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А.М.Скворцовым материалы, не находит оснований для принятия его жалобы к рассмотрению. В отличие от определения, принятого Конституционным Судом Российской Федерации по индивидуальной или коллективной жалобе, в котором дано конституционно-правовое истолкование нормы права, определение Конституционного Суда Российской Федерации об отказе в принятии жалобы к рассмотрению лишь устанавливает, что эта жалоба не отвечает требованиям, предъявляемым к обращениям в Конституционный 3 Суд Российской Федерации. Такого рода решение Конституционного Суда Российской Федерации не свидетельствует о признании закона, примененного в конкретном деле, не соответствующим Конституции Российской Федерации, не содержит разъяснений конституционно-правового смысла оспариваемого закона, а потому не может являться новым обстоятельством, не известным суду на момент вынесения судебного решения. Таким образом, оспариваемые заявителем положения уголовно- процессуального закона не могут рассматриваться как нарушающие его конституционные права, в связи с чем его жалоба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Андрея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