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112535-П/2012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Медведевой Ларисы Сергеевны на нарушение ее конституционных прав статьей 112 и пунктом 3 части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Л.С.Медведевой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Л.С.Медведевой в обоснование своей позиции о неконституционности статьи 112 и пункта 3 части первой статьи 3791 ГПК Российской Федерации, свидетельствуют о том, что нарушение своих конституционных прав она связывает не с данными нормами, а с судебным постановлением суда кассационной инстанции, принятым по результатам рассмотрения ее жалобы, проверка законности и обоснованности которого, в том числе правильности выбора подлежащих применению норм права,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Медведевой Ларисы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