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Алексея Владимировича на нарушение его конституционных прав абзацем вторым пункта 1 и абзацем первым пункта 13 Правил задержания транспортного средства, помещения его на стоянку, хранения, а также запрещения эксплуатации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рассмотрев по требованию гражданина А.В.Тарасова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А.В.Тарасовым материалы, не находит оснований для принятия его жалобы к рассмотрению. 3 Из Конституции Российской Федерации, ее статей 1 (часть 1), 19 (части 1 и 2) и 55, следует, что правовые нормы должны быть четкими и понятными. Вместе с тем, будучи различными по характеру и значению, правовые нормы, в том числе те из них, которые включают оценочные либо общепринятые понятия, определяются законодателем с учетом необходимости их эффективного применения к неограниченному числу конкретных правовых ситуаций. Оспариваемые А.В.Тарасовым положения, предусматривающие формулировку о невозможности устранения причины задержания транспортного средства на месте выявления административного правонарушения, не содержат каких-либо трудностей для понимания и не являются неопределенными, а потому не могут рассматриваться как допускающие произвол в отношении граждан. Проверка же законности и обоснованности правоприменительных решений по делу заявителя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