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115778-П/2012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Спиридонова Акима Леонидовича на нарушение его конституционных прав пунктом 2 части второй, пунктом 1 части третьей, пунктом 3 части четвертой и частью пятой статьи 413, частью третьей статьи 416, статьей 417 и частью пятой статьи 443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А.Л.Спиридонова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конституционности уголовно-процессуальных норм, определяющих круг новых и вновь открывшихся обстоятельств, являющихся основаниями для возобновления производства по уголовному делу, уже был предметом рассмотрения Конституционного Суда Российской Федерации, который неоднократно указывал на недопустимость такого ограничения круга оснований, которое приводило бы к невозможности учета выявившихся после вступления приговора в законную силу новых фактических обстоятельств, свидетельствующих о совершении подсудимым иного преступления, или исключало бы при исчерпании возможностей надзорного производства устранение фундаментальных нарушений, повлекших постановление незаконного, необоснованного или несправедливого судебного решения, и восстановление нарушенных им прав и законных интересов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Спиридонова Акима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