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66177-П/2011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Дмитрия Григорьевича на нарушение его конституционных прав статьями 30.7 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Д.Г.Николаева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Д.Г.Николаевым материалы, не находит оснований для принятия его жалобы к рассмотрению. Сами по себе оспариваемые законоположения, закрепляющие виды решений, принимаемых по результатам рассмотрения жалоб на постановления (решения) по делам об административных правонарушениях, направлены на обеспечение законности при применении мер административного принуждения в связи с административным правонарушением и тем самым гарантируют в том числе права лица, привлекаемого к административной ответственности. Оспариваемые нормы, вопреки утверждениям заявителя, не предполагают возможность рассмотрения дел об административном правонарушении в произвольном порядке (определения Конституционного Суда Российской Федерации от 20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Дмитрия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