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18608-П/2009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Александра Сергеевича на нарушение его конституционных прав частью 1 статьи 29.5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А.С.Фролова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А.С.Фроловым материалы, не находит оснований для принятия его жалобы к рассмотрению. При рассмотрении дела об административном правонарушении суды и иные уполномоченные органы, а также должностные лица обязаны, как требует статья 24.1 КоАП Российской Федерации, исходить из задач всестороннего, полного, объективного и своевременного выяснения обстоятельств каждого дела. При этом в силу части 1 статьи 29.5 КоАП Российской Федерации дело об административном правонарушении может быть рассмотрено по месту жительства лица, в отношении которого ведется производство по делу, по его ходатайству. По смыслу названных взаимосвязанных законоположений, такое ходатайство подлежит удовлетворению не во всех случаях, а только когда это продиктовано необходимостью решения задач, связанных с производством по делу. Такое регулирование не может рассматриваться как нарушающее конституционные права заявителя. 3 Проверка же законности и обоснованности правоприменительных решений по делу заявителя, в том числе в части, касающейся вопроса о месте его рассмотрения,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