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77771-П/2011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Боброва Александра Николаевича на нарушение его конституционных прав частью второй статьи 17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по требованию гражданина А.Н.Боброва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Омского областного суда от 11 ноября 2005 года гражданин А.Н.Бобров за совершение убийств с отягчающими обстоятельствами был осужден по совокупности преступлений к 25 годам лишения свободы с отбыванием наказания в исправительной колонии строгого режима. Постановлением судьи Верховного Суда Российской Федерации от 29 октября 2010 года надзорная жалоба А.Н.Боброва на указанный приговор была оставлена без удовлетворения.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17 УК Российской Федерации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Особенной части этого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данного Кодекса (часть первая); одно же действие (бездействие) признается совокупностью преступлений лишь тогда, когда оно содержит признаки преступлений, предусмотренных двумя или более статьями данного Кодекса (часть вторая). При этом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(часть первая статьи 5 УК Российской Федерации), ему назначается наказание, соответствующее характеру и степени общественной опасности преступления, обстоятельствам его совершения и личности виновного (часть первая статьи 6 УК Российской Федерации). Таким образом, оспариваемые заявителем нормы его права не нарушают. Вопрос же о том, было ли вменявшееся ему деяние совершено им одним действием или их комплексом, наступили ли общественно опасные последствия в результате единичного деяния или их множества, подпадает ли 3 оно под признаки одного состава преступления или нескольких, требует оценки фактических обстоятельств, что к компетенции Конституционного Суда Российской Федерации не относится. Кроме того, как следует из жалобы, оспаривая конституционность положений уголовного закона, заявитель аргументирует свою позицию, излагая свою версию обстоятельств дела и содержание принятых по нему решений, и тем самым выражает сомнение в правильности квалификации судом совершенного им преступления. Однако проверка правоприменительных решений, правильности выбора норм закона также не относится к компетенции Конституционного Суда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Боброва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