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105053-П/2012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Черноваловой Татьяны Александровны на нарушение ее конституционных прав пунктом 2 статьи 23 Гражданского кодекса Российской Федерации и статьей 5 Федерального закона «О крестьянском (фермерском) хозяйстве»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Т.А.Черноваловой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Оспариваемые нормы, предусматривающие предназначение и необходимость государственной регистрации крестьянского (фермерского) хозяйства, какой-либо неопределенности не содержат и сами по себе не нарушают конституционные права заявительницы. Кроме того, доводы, приведенные ею в обоснование своей позиции, свидетельствуют о том, что нарушение своих прав она связывает с судебным постановлением, предлагая иную оценку фактическим обстоятельствам конкретного дела, определяющим правовую судьбу и принадлежность спорного земельного участка. Между тем проверка законности и обоснованности судебных постановлений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Черноваловой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