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15274-П/2006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июня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«Нижнекамскнефтехим» на нарушение конституционных прав и свобод частью 2 статьи 18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В.Г.Ярославцева, рассмотрев по требованию ОАО «Нижнекамскнефтехим»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апелляционной инстанции Арбитражного суда города Москвы от 11 декабря 2003 года ОАО «Нижнекамскнефтехим» отказано в иске об исключении из коммандитного товарищества ООО «Инвестиционная компания «АйБиЭйч». Из содержания протокола судебного заседания следует, что при рассмотрении дела после перерыва судебное заседание возобновлено в ином составе суда; при этом рассмотрение дела было начато сначала. 2 В своей жалобе ОАО «Нижнекамскнефтехим»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ОАО «Нижнекамскнефтехим» материалы, не находит оснований для принятия его жалобы к рассмотрению. В соответствии с частью 2 статьи 18 АПК Российской Федерации замена судьи или одного из судей возможна в случае заявленного и удовлетворенного в порядке, установленном данным Кодексом, самоотвода или отвода судьи, длительного отсутствия судьи ввиду болезни, отпуска, пребывания на учебе. Приведенные нормативные положения, допускающие замену судьи лишь при наличии объективных обстоятельств, исключающих дальнейшее участие судьи в рассмотрении дела или при временном отсутствии судьи, когда отложение разбирательства дела для обеспечения неизменного состава суда может привести к длительной задержке разрешения спора, сами по себе, 3 как направленные на защиту интересов лиц, участвующих в деле, не могут быть признаны нарушающими права граждан и организаций. Установление же и исследование фактических обстоятельств дела с участием заявителя, связанных с выяснением того, по каким основаниям был заменен один из судей при рассмотрении конкретного дела, предусмотрены ли эти основания процессуальным законом, не может быть осуществлено Конституционным Судом Российской Федерации в силу части третьей статьи 3 Федерального конституционного закона «О Конституционном Суде Российской Федерации», поскольку входит в компетенцию арбитражных судов.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«Нижнекамскнефтехим»,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