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59892-П/2011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Петровой Елены Владимировны на нарушение ее конституционных прав пунктами 41 и 42 Правил содержания общего имущества в многоквартирном доме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гражданки Е.В.Петровой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Решениями судов общей юрисдикции, оставленными без изменения вышестоящими судебными инстанциями, исковые требования владельцев двух жилых помещений, находящихся в многоквартирном доме под квартирой гражданки Е.В.Петровой, предъявленные к ней и членам ее семьи, о возмещении причиненного заливом квартиры материального ущерба и компенсации морального вреда были частично удовлетворены.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Е.В.Петровой материалы, не находит оснований для принятия ее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Петровой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