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161459-П/2014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«Таврия» на нарушение конституционных прав и свобод статьями 218 и 223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«Таврия»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ООО «Таврия» было отказано в удовлетворении ряда исковых требований, в том числе о признании добросовестным приобретателем и признании права собственности на недвижимое имущество.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218 и 223 ГК Российской Федерации, закрепляющие основания приобретения права собственности и связывающие возникновение права собственности у приобретателя в случаях, когда отчуждение имущества подлежит государственной регистрации, с моментом такой регистрации (для добросовестного приобретателя – за исключением предусмотренных статьей 302 данного Кодекса случаев), направлены на реализацию участниками гражданских правоотношений их имущественных прав и интересов, гарантированных статьей 35 (часть 2) Конституции Российской Федерации, и на обеспечение стабильности гражданского оборота, а потому сами по себе не могут рассматриваться как нарушающие права заявителя, указанные в жалобе. Проверка же законности и обоснованности вынесенных по конкретному делу судебных решений, равно как и внесение изменений и дополнений в закон,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«Таврия»,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