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8918-П/2009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Голотина Александра Юрьевича на нарушение его конституционных прав статьями 50, 51, 248 и пунктом 4 части второй статьи 381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Голотина Александра Юрьевича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Ярославского областного суда от 23 октября 2002 года был продлен срок содержания под стражей подсудимого А.Ю.Голотина. Судебное заседание проводилось в отсутствие извещенного о времени заседания защитника подсудимого. Его кассационная и надзорная жалобы на данное постановление оставлены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А.Ю.Голотиным материалы, не находит оснований для принятия его жалобы к рассмотрению. Регламентируя условия и порядок реализации конституционного права на получение квалифицированной юридической помощи, Уголовно- процессуальный кодекс Российской Федерации связывает его осуществление как с волеизъявлением обвиняемого, который самостоятельно приглашает защитника либо по просьбе которого участие защитника обеспечивается дознавателем, следователем или судом (части первая и вторая статьи 50), так и с конкретными обстоятельствами, при наличии которых участие защитника в уголовном судопроизводстве обязательно (статья 51). Часть вторая статьи 248 УПК Российской Федерации прямо предусматривает, что в случае неявки защитника и невозможности его замены судебное разбирательство откладывается; пункт 4 части второй статьи 381 УПК Российской Федерации в числе безусловных оснований отмены либо изменения судебного решения в кассационном порядке указывает нарушение права обвиняемого пользоваться помощью защитника, в том числе в случае рассмотрения уголовного дела без участия защитника, когда его участие в соответствии с законом является обязательным. Следовательно, сами по себе оспариваемые законоположения конституционные права заявителя не нарушают, в связи с чем его жалоба, как не отвечающая критерию допустимости, закрепленному в статьях 96 и 97 Федерального конституционного закона «О Конституционном Суде 3 Российской Федерации», не может быть принята Конституционным Судом Российской Федерации к рассмотрению. Исследование же и оценка фактических обстоятельств, повлекших проведение судебного заседания в отсутствие защитника заявителя,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Голотина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