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113316-П/2012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сентября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Бервинова Виктора Владимировича на нарушение его конституционных прав абзацем третьим пункта 6 Правил выплаты военнослужащим, проходящим военную службу по контракту, ежегодной материальной помощи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В.В.Бервинова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В.В.Бервиновым материалы, не находит оснований для принятия его жалобы к рассмотрению. Часть 22 статьи 2 Федерального закона от 7 ноября 2011 года № 306-ФЗ «О денежном довольствии военнослужащих и предоставлении им отдельных выплат», предусматривая выплату военнослужащим ежегодной материальной помощи и определяя ее размер, относит установление правил выплаты ежегодной материальной помощи к полномочиям Правительства Российской Федерации. Как следует из содержания части 2 той же статьи, ежегодная материальная помощь представляет собой входящую в состав денежного довольствия военнослужащих дополнительную выплату. Право на получение данной выплаты непосредственно из Конституции Российской Федерации не вытекает, в силу чего Правительство Российской Федерации обладает широкой дискрецией при определении и изменении правил ее предоставления. Установив с 1 января 2012 года новые правила выплаты военнослужащим ежегодной материальной помощи, Правительство 3 Российской Федерации действовало в пределах предоставленных ему полномочий и в рамках реформирования системы денежного довольствия военнослужащих, гарантирующего повышение уровня их материального обеспечения, в первую очередь посредством увеличения месячного денежного содержания. Таким образом, само по себе изменение порядка выплаты военнослужащим ежегодной материальной помощи не может рассматриваться как нарушающее конституционные права заявителя.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Бервинова Виктора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