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16112-П/2007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Балакишеева Валерия Ибрагимовича на нарушение его конституционных прав положениями частей 1 и 5 статьи 4.5, пункта 6 части 1 статьи 24.5, части 2 статьи 28.2, статей 29.4 и 29.8, части 2 статьи 29.9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гражданина В.И.Балакишеева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гражданином В.И.Балакишеевым материалы, не находит оснований для принятия данной жалобы к рассмотрению. Оспариваемые положения Кодекса Российской Федерации об административных правонарушениях не регулируют вопросы переквалификации действий лица, в отношении которого возбуждено дело об административном правонарушении, и не препятствуют принесению замечаний на протокол судебного заседания по делу об административном правонарушении в случае, если он ведется судьей, а потому, вопреки 3 утверждению заявителя, не могут рассматриваться как нарушающие его конституционные права. Фактически в жалобе ставятся вопросы о проверке законности и обоснованности принятых по делу заявителя правоприменительных решений, а также о необходимости внесения целесообразных, с его точки зрения, изменений и дополнений в Кодекс Российской Федерации об административных правонарушениях, в том числе в положения, регулирующие течение срока давности привлечения к административной ответственности. Между тем решение данных вопросов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Балакишеева Валерия Ибрагимовича,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