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164718-П/2014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«ПрофЦемент-Вектор» на нарушение конституционных прав и свобод пунктами 1 и 4 статьи 421, пунктом 1 статьи 424, пунктом 1 статьи 779 и статьей 781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ЗАО «ПрофЦемент-Вектор»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кассационной инстанции были отменены судебные акты нижестоящих судов, с ЗАО «ПрофЦемент-Вектор» в пользу общества с ограниченной ответственностью взыскана сумма задолженности по договору.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1 и 4 статьи 421, пункт 1 статьи 424, пункт 1 статьи 779 и статья 781 ГК Российской Федерации, устанавливающие свободу сторон в определении условий договора, в том числе в отношении цены, понятие договора возмездного оказания услуг и обязанность оплаты оказанных услуг, сами по себе не могут рассматриваться как нарушающие конституционные права заявителя. Проверка же законности и обоснованности вынесенных по конкретному делу судебных решений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«ПрофЦемент-Вектор»,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