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75978-П/2011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Затынайко Андрея Анатольевича на нарушение его конституционных прав статьями 50, 51, 110, 255, 403, 407, 410 и 411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А.А.Затынайко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Обосновывая свою позицию о неконституционности оспариваемых норм, заявитель утверждает, что правоприменитель неверно истолковал их в его деле, поскольку не учел решения Конституционного Суда Российской Федерации, уже состоявшиеся по поставленным в его жалобе вопросам. Тем самым, по сути, А.А.Затынайко предлагает Конституционному Суду Российской Федерации дать оценку правоприменительным решениям, что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Затынайко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