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65477-П/2011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Чирвы Светланы Евгеньевны на нарушение ее конституционных прав отдельными положениями статей 12, 14, 21, 23, 25, 26 и 33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гражданки С.Е.Чирвы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кассационной инстанции, гражданке С.Е.Чирве было отказано в удовлетворении исковых требований к обществу с ограниченной ответственностью и другим ответчикам о признании недействительными сделок, изменений, внесенных в учредительные документы общества, и признании права собственности на долю в уставном капитале общества.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содержания жалобы, нарушение своих конституционных прав заявительница связывает с тем, что оспариваемые нормы не были применены арбитражными судами при рассмотрении ее дела. Однако проверка законности и обоснованности вынесенных по конкретному делу судебных актов, в том числе в части правильности выбора и применения судами норм права, не относится к компетенции Конституционного Суда Российской Федерации, как она установлена в статьей 125 Конституции Российской Федерации и статье 3 Федерального конституционного закона «О Конституционном Суде Российской Федерации». Кроме того, ряд оспариваемых ею положений утратил силу до ее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Чирвы Светланы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