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115764-П/2012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Ломовицкой Яны Николаевны на нарушение ее конституционных прав рядом статей Гражданского процессуального кодекса Российской Федерации, статьями 330, 333, 394 Гражданского кодекса Российской Федерации и отдельными положениями статей 14, 43–45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Я.Н.Ломовицкой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заявительницей в обоснование своей позиции, свидетельствуют о том, что нарушение своих конституционных прав она связывает не с содержанием оспариваемых положений, а с вынесенными по ее делу судебными постановлениями, с которыми она выражает несогласие. 3 Между тем проверка законности и обоснованности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Ломовицкой 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