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17933-П/2008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Кошелева Максима Юрьевича на нарушение его конституционных прав статьями 12.26 и 27.12 Кодекса Российской Федерации об административных правонарушениях и пунктами 1.2 и 2.3.2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М.Ю.Кошелева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М.Ю.Кошелевым материалы, не находит оснований для принятия его жалобы к рассмотрению. Оспариваемые заявителем нормативные положения не могут рассматриваться как нарушающие его конституционные права и свободы в конкретном деле. Проверка же законности и обоснованности правоприменительных решений, как связанная с исследованием и установлением фактических обстоятельств (приступил заявитель в действительности к управлению транспортным средством или нет), не входит в компетенцию Конституционного Суда Российской Федерации, определенную в статье 125 Конституции Российской Федерации и статье 3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Кошелева Максима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