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65924-П/2011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Николая Петровича на нарушение его конституционных прав статьей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Н.П.Ефимова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Н.П.Ефимовым материалы, не находит оснований для принятия его жалобы к рассмотрению. Статья 29.8 КоАП Российской Федерации, регулирующая порядок составления протокола о рассмотрении дела об административном правонарушении, не предусматривает возможность подачи на него замечаний. Вместе с тем лицо, в отношении которого ведется производство по делу об административном правонарушении, вправе обжаловать постановление (решение) по делу об административном правонарушении (статьи 30.1 и 30.12 КоАП Российской Федерации). При этом данное лицо не лишено возможности в самой жалобе привести замечания и возражения на протокол о рассмотрении дела об административном правонарушении непосредственно. Именно из этого исходит Верховный Суд Российской Федерации, давая разъяснения по вопросам судебной практики (Обзор законодательства и судебной практики Верховного Суда Российской Федерации за четвертый квартал 2006 года, утвержденный постановлением Президиума Верховного Суда Российской Федерации от 7 марта 2007 года). Таким образом, оспариваемое законоположение, действующее в системе правового регулирования и оцениваемое с учетом сложившейся правоприменительной практики, не может рассматриваться как нарушающее конституционные права заявителя. 3 Проверка же законности и обоснованности судебных решений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