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7499-П/2009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Александра Александровича на нарушение его конституционных прав и свобод частью 1 статьи 29.8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А.А.Смирнова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А.А.Смирновым материалы, не находит оснований для принятия его жалобы к рассмотрению. Часть 1 статьи 29.8 КоАП Российской Федерации, в соответствии с которой протокол о рассмотрении дела об административном правонарушении составляется при рассмотрении дела коллегиальным органом, не препятствует составлению протокола при рассмотрении дела судьей. О том, что в необходимых случаях возможность ведения такого протокола Кодексом Российской Федерации об административных правонарушениях, в том числе и оспариваемым законоположением, не исключается, указывается и в разъяснениях Пленума Верховного Суда Российской Федерации (пункт 9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правонарушениях»). К тому же лицо, в отношении которого ведется производство по делам об административных правонарушениях, вправе заявлять ходатайство о составлении протокола о рассмотрении дела судьей, которое подлежит обязательному и немедленному 3 рассмотрению (статьи 24.4 и 25.1). Следовательно, оспариваемое законоположение не может рассматриваться как нарушающее конституционные права заявителя.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