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15051-П/2006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Владимира Сергеевича на нарушение его конституционных прав частью первой статьи 31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гражданина В.С.Литвинова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В.С.Литвинов, оспаривающий конституционность части первой статьи 31 Закона Российской Федерации от 19 февраля 1993 года «О государственных гарантиях и компенсациях для лиц, работающих и проживающих в районах Крайнего Севера и приравненных к ним местностях», утверждает, что ее истолкование, данное Верховным Судом Российской Федерации в Обзоре судебной практики Верховного Суда Российской Федерации за III квартал 2002 года (утвержден 2 постановлением Президиума Верховного Суда Российской Федерации от 4 декабря 2002 года) и примененное при рассмотрении его иска к Санкт- Петербургскому военному комиссариату об обязании исчислить пенсию по выслуге лет с применением коэффициента, установленного для районов Крайнего Севера, не соответствует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В.С.Литвиновым материалы, не находит оснований для принятия его жалобы к рассмотрению. Статья 31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с 1 января 2005 года утратила силу в связи с принятием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а потому, по смыслу Федерального конституционного закона «О Конституционном Суде Российской Федерации», данная жалоба не может быть предметом проверки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3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Владимира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