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75666-П/2011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«Антага» на нарушение конституционных прав и свобод пунктом 2 статьи 382 и пунктом 1 статьи 388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ООО «Антага»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в силе постановлением арбитражного суда кассационной инстанции, ООО «Антага» было отказано в удовлетворении иска к обществу с ограниченной ответственностью о взыскании задолженности и процентов за пользование чужими денежными средствами.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В соответствии с пунктом 2 статьи 382 ГК Российской Федерации для перехода к другому лицу прав кредитора не требуется согласие должника, если иное не предусмотрено законом или договором. Пункт 1 статьи 388 Кодекса предусматривает, что уступка требования кредитором другому лицу допускается, если она не противоречит закону, иным правовым актам или договору. Данные положения, диспозитивные по своему характеру, направлены на реализацию вытекающего из Конституции Российской Федерации гражданско-правового принципа свободы договора и сами по себе не могут рассматриваться как нарушающие конституционные права и свободы заявителя, перечисленные в жалобе. Разрешение же вопроса о правильности применения оспариваемых законоположений исходя из фактических обстоятельств конкретного дела и, следовательно, о проверке законности вынесенных судебных решений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«Антага»,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