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92214-П/2012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«Грант» на нарушение конституционных прав и свобод частью 3 статьи 151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ООО «Грант»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было прекращено производство по делу с участием ООО «Грант» в связи с отказом общества от исковых требований. Определением того же суда ему было отказано в удовлетворении ходатайства о возобновлении производства по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2 статьи 49 АПК Российской Федерации истец вправе до принятия судебного акта, которым заканчивается рассмотрение дела по существу в арбитражном суде первой инстанции или в арбитражном суде апелляционной инстанции, отказаться от иска полностью или частично. Право истца отказаться от исковых требований вытекает из конституционно значимого принципа диспозитивности, который, в частности, означает, что процессуальные отношения в гражданском судопроизводстве возникают, изменяются и прекращаются главным образом по инициативе непосредственных участников спорного материального правоотношения, имеющих возможность с помощью суда распоряжаться своими процессуальными правами, а также спорным материальным правом (Постановление Конституционного Суда Российской Федерации от 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«Грант»,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