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55795-П/2011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Тергоева Алексея Евгеньевича на нарушение его конституционных прав статьями 3.1 и 31.7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А.Е.Тергоева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устанавливая в Кодексе Российской Федерации об административных правонарушениях вид и пределы административного наказания за совершение конкретного административного правонарушения, исходит из необходимости предупреждения совершения новых правонарушений как самим правонарушителем, так и другими лицами (статья 3.1), связывая тем самым достижение указанных целей административного наказания с его назначением и исполнением соответствующего постановления по делу об административном правонарушении. Прекращение же исполнения постановления о назначении административного наказания допускается только в предусмотренных законом 3 случаях, в том числе исключающих возможность достижения целей административного наказания (статья 31.7). Оспариваемые нормативные положения, принятые в рамках дискреции законодателя, направлены на обеспечение общей и частной превенции в сфере административной ответственности за нарушение правил дорожного движения и не могут сами по себе рассматриваться как нарушающие конституционные права граждан.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Тергоева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