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Леманова Михаила Александровича на нарушение его конституционных прав статьей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М.А.Леманова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Таганрогского городского суда Ростовской области от 15 марта 2008 года в отношении гражданина М.А.Леманова, обвинявшегося в совершении преступления, предусмотренного частью четвертой статьи 159 УК Российской Федерации, была избрана мера пресечения в виде заключения под стражу.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М.А.Лемановым материалы, не находит оснований для принятия его жалобы к рассмотрению. Обязанность суда, выносящего по ходатайству следователя или дознавателя в порядке статей 100, 108, 109 и 255 УПК Российской Федерации решения об избрании в качестве меры пресечения заключения под стражу или о продлении срока содержания под стражей, в том числе на стадиях уголовного судопроизводства, следующих за окончанием предварительного расследования и направлением уголовного дела в суд, дать оценку достаточности представленных сторонами материалов для принятия законного и обоснованного решения и определения того, какие именно данные, в том числе касающиеся характеристики личности обвиняемого, указывают на наличие предусмотренных законом оснований для заключения его под стражу и продления срока содержания под стражей, а также исчислить и указать конкретный срок содержания под стражей, неоднократно подтверждалась в решениях Конституционного Суда Российской Федерации (постановления от 13 июня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Леманова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