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82434-П/2011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Евтешина Артура Аркадьевича на нарушение его конституционных прав частью второй статьи 956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А.А.Евтешина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от 11 ноября 2009 года, оставленным без изменения вышестоящими судами, отказано в удовлетворении иска индивидуального предпринимателя А.А.Евтешина к страховой компании о взыскании страхового возмещения в связи с повреждением автомобиля. Арбитражные суды исходили в том числе из того, что истцом не соблюдено условие правил страхования о сообщении страховщику достоверных сведений об обстоятельствах наступления страхового случая, что дает страховщику право отказать в выплате страхового возмещения. 2 Постановлением арбитражного суда апелляционной инстанции, оставленным без изменения вышестоящими судами, решение арбитражного суда от 11 января 2010 года отменено, в иске А.А.Евтешина к страховой компании о взыскании страхового возмещения в связи с повреждением автомобиля в результате дорожно-транспортного происшествия отказано, в том числе ввиду недоказанности размера исковых требований.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Согласно части второй статьи 956 ГК Российской Федерации выгодоприобретатель не может быть заменен другим лицом после того, как он выполнил какую-либо из обязанностей по договору страхования или предъявил страховщику требование о выплате страхового возмещения или страховой суммы. Как по своему буквальному смыслу, так и в системе норм действующего гражданско-правового регулирования данное законоположение регламентирует лишь отношения, связанные с заменой выгодоприобретателя другим лицом по воле страхователя, и как таковое направлено на защиту прав выгодоприобретателя, а потому само по себе не может рассматриваться как нарушающее конституционные права заявителя, указанные в жалобе. 3 Проверка же законности и обоснованности судебных актов, правильности толкования и применения оспариваемого законоположения в конкретном деле, равно как установление и исследование фактических обстоятельств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входят.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Евтешина Артура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