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16522-П/2007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Ермакова Константина Николаевича на нарушение его конституционных прав частью 3 статьи 158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Б.С.Эбзеева, рассмотрев по требованию гражданина К.Н.Ермакова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К.Н.Ермаковым материалы, не находит оснований для принятия данной жалобы к рассмотрению. Согласно части 3 статьи 158 Жилищного кодекса Российской Федерации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доме. Эта норма конкретизирует общее положение статьи 210 ГК Российской Федерации, в соответствии с которой собственник несет бремя содержания принадлежащего ему имущества, если иное не предусмотрено законом или договором, не устанавливает конкретных размеров платы за содержание и ремонт помещения и сама по себе не нарушает каких-либо конституционных прав заявителя. Кроме того, следует учитывать, что согласно статье 16 Закона Российской Федерации от 4 июля 1991 года «О приватизации жилищного фонда в Российской Федерации» (в редакции от 29 декабря 2004 года) при приватизации занимаемых гражданами жилых помещений в домах, требующих капитального ремонта, за бывшим наймодателем сохраняется обязанность производить капитальный ремонт дома в соответствии с нормами содержания, эксплуатации и ремонта жилищного фонда. Фактически заявитель, как это следует из жалобы, выражает несогласие с размером платы за содержание и ремонт жилого помещения для собственников жилых помещений, не принявших решение о выборе способа управления многоквартирным домом, установленным постановлением главы городского округа Орехово-Зуево Московской области от 16 ноября 2006 года № 1514 «Об утверждении тарифов на водоснабжение, вывоз и захоронение жидких и твердых бытовых отходов, платы за содержание и ремонт жилых помещений и коммунальные услуги с 01.01.2007». Разрешение этого вопроса в силу статьи 125 (часть 4) Конституции Российской Федерации и статьи 3 Федерального конституционного закона «О 3 Конституционном Суде Российской Федерации» Конституционному Суду Российской Федерации неподведомственно.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Ермакова Константина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