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Панкова Вадима Викторовича на нарушение его конституционных прав положениями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В.В.Панкова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В.В.Панков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В.В.Панковым материалы, не находит оснований для принятия его жалобы к рассмотрению. Положения статьи 406 УПК Российской Федерации, предусматривая в качестве средства проверки законности и обоснованности вступивших в законную силу судебных решений полномочие председателя верховного суда республики, краевого или областного суда, суда города федерального значения, суда автономной области и суда автономного округа, Председателя Верховного Суда Российской Федерации либо его заместителя не согласиться с решением судьи об отказе в удовлетворении надзорных жалобы или представления, отменить такое решение и вынести постановление о возбуждении надзорного производства, тем самым обеспечивают лицу, обжаловавшему вступивший в законную силу приговор, дополнительную возможность защиты своих интересов и, следовательно, не могут расцениваться как нарушающие конституционные права заявителя. С учетом этого жалоба В.В.Панкова, как не отвечающая требованиям статей 96 и 97 Федерального конституционного закона «О Конституционном Суде Российской Федерации», согласно которым жалоба гражданина на нарушение конституционных прав и свобод законом признается допустимой, если оспариваемым законом, примененным или подлежащим применению в деле заявителя, затрагиваются его конституционные права и свободы, не может 3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Панкова Вадима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