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113187-П/2012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Саитовой Рамили Хамитьяновны на нарушение ее конституционных прав статьей 20 и пунктом 1 части третьей статьи 406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Р.Х.Саитовой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Р.Х.Саитовой материалы, не находит оснований для принятия ее жалобы к рассмотрению. Статья 20 УПК Российской Федерации определяет лишь виды уголовного преследования в зависимости от характера и тяжести совершенного преступления и не содержит положений, закрепляющих основания и порядок разрешения заявления о преступлении, отнесенном к делам частного обвинения. Пункт 1 части третьей статьи 406 УПК Российской Федерации устанавливает, что по итогам изучения надзорных жалобы или представления судья выносит, в частности, постановление об отказе в удовлетворении надзорных жалобы или представления, и не регламентирует оснований для принятия данного решения применительно к делам частного обвинения. Таким образом, оспариваемые заявительницей нормы не могут рассматриваться как нарушающие ее права. Кроме того, заявительницей не представлены документы, подтверждающие применение оспариваемых норм в указанном ею аспекте. Соответственно, ее жалоба, как не отвечающая 3 критериям допустимости, не может быть принята Конституционным Судом Российской Федерации к рассмотрению.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Саитовой Рамили Хамитьяновны,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