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86265-П/2009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Виноходова Юрия Михайловича на нарушение его конституционных прав положениями Федерального закона от 29 июня 2009 года № 141-ФЗ «О внесении изменений в Уголовный кодекс Российской Федерации и Уголовно-процессуальный кодекс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В.Г.Ярославцева, рассмотрев по требованию гражданина Ю.М.Виноходова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Ю.М.Виноходов, осужденный приговором Орловского районного суда Орловской области от 19 июня 2009 года, обратился в суд с ходатайством о приведении приговора в соответствие с новым уголовным законом, а именно статьей 62 УК Российской Федерации в редакции Федерального закона от 29 июня 2009 года № 141-ФЗ «О внесении изменений в Уголовный кодекс Российской Федерации и Уголовно- процессуальный кодекс Российской Федерации». Постановлением 2 Ливенского районного суда Орловской области от 29 июля 2010 года, оставленным без изменения судами кассационной и надзорной инстанций, в удовлетворении ходатайства было отказано. В обоснование своих решений суды указали в том числе на то, что назначенное Ю.М.Виноходову приговором наказание в виде лишения свободы на срок пять лет шесть месяцев не превышает двух третей максимального срока наиболее строгого вида наказания, предусмотренного статьей Особенной части Уголовного кодекса Российской Федерации, по которой он был осужден.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Ю.М.Виноходовым изменения, внесенные Федеральным законом от 29 июня 2009 года № 141-ФЗ в уголовный и уголовно-процессуальный законы, поскольку ими установлены более благоприятные условия назначения наказания при наличии смягчающих обстоятельств, а также введен институт досудебного соглашения о сотрудничестве, следствием которого является назначение наказания в ограниченных пределах, не могут рассматриваться как нарушающие права заявителя. Как следует из жалобы, заявитель не приводит доводов в обоснование неконституционности оспариваемых им норм, а нарушение своих прав усматривает в том, что при разрешении его ходатайства о приведении приговора в соответствие с новым уголовным законом размер наказания, назначенного ему судом, оставлен прежним, и тем самым, по сути, предлагает дать оценку не нормам закона, а их применению в его конкретном деле. Однако разрешение данного вопроса требует установления и 3 исследования фактических обстоятельств дела и в компетенцию Конституционного Суда Российской Федерации не входит.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Виноходова Юрия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