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71424-П/2011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Юрия Борисовича на нарушение его конституционных прав пунктом 3 части первой статьи 16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Ю.Б.Борисова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кассационной коллегии Верховного Суда Российской Федерации отказано в удовлетворении заявления гражданина Ю.Б.Борисова об отводе судьи.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 ГПК Российской Федерации, содержащая конкретный перечень оснований для отвода судьи, является гарантией соблюдения принципа беспристрастности судьи и направлена на расширение гарантий судебной защиты прав и законных интересов участников гражданского судопроизводства, а потому не может рассматриваться как нарушающая конституционные права заявителя, перечисленные в жалобе. Кроме того, в качестве гарантии объективности и беспристрастности судьи в случае, если в составе одного суда действуют различные судебные инстанции, выступает установленный статьей 17 ГПК Российской Федерации запрет на повторное участие судьи в рассмотрении дела.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Юрия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